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C" w:rsidRPr="0010745A" w:rsidRDefault="003E1C57" w:rsidP="008C5D8C">
      <w:pPr>
        <w:ind w:left="-1134" w:right="423"/>
        <w:rPr>
          <w:sz w:val="20"/>
          <w:szCs w:val="20"/>
        </w:rPr>
      </w:pPr>
      <w:r w:rsidRPr="000F6A68">
        <w:rPr>
          <w:noProof/>
          <w:lang w:val="es-UY" w:eastAsia="es-UY"/>
        </w:rPr>
        <w:drawing>
          <wp:anchor distT="0" distB="0" distL="114300" distR="114300" simplePos="0" relativeHeight="251663360" behindDoc="1" locked="0" layoutInCell="1" allowOverlap="1" wp14:anchorId="4C43824F" wp14:editId="54EB0044">
            <wp:simplePos x="0" y="0"/>
            <wp:positionH relativeFrom="column">
              <wp:posOffset>2914745</wp:posOffset>
            </wp:positionH>
            <wp:positionV relativeFrom="page">
              <wp:posOffset>777638</wp:posOffset>
            </wp:positionV>
            <wp:extent cx="2817642" cy="723332"/>
            <wp:effectExtent l="0" t="0" r="1905" b="635"/>
            <wp:wrapNone/>
            <wp:docPr id="6" name="LogoBBVA_TagEsp" descr="C:\Users\e049688\Desktop\__NEW BEGINING\02_LOGOS\BBVA CON TAGLINE\BBVA TAGLINE ESPANOL\RGB\BBVA_TAGLINE_ESP_RGB_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049688\Desktop\__NEW BEGINING\02_LOGOS\BBVA CON TAGLINE\BBVA TAGLINE ESPANOL\RGB\BBVA_TAGLINE_ESP_RGB_LEF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42" cy="7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D8C" w:rsidRPr="0010745A" w:rsidRDefault="008C5D8C" w:rsidP="008C5D8C">
      <w:pPr>
        <w:ind w:left="-142"/>
        <w:jc w:val="center"/>
        <w:rPr>
          <w:sz w:val="20"/>
          <w:szCs w:val="20"/>
        </w:rPr>
      </w:pPr>
    </w:p>
    <w:p w:rsidR="008C5D8C" w:rsidRPr="0010745A" w:rsidRDefault="008C5D8C" w:rsidP="008C5D8C">
      <w:pPr>
        <w:rPr>
          <w:sz w:val="20"/>
          <w:szCs w:val="20"/>
        </w:rPr>
      </w:pPr>
    </w:p>
    <w:p w:rsidR="008C5D8C" w:rsidRPr="0010745A" w:rsidRDefault="008C5D8C" w:rsidP="008C5D8C">
      <w:pPr>
        <w:rPr>
          <w:sz w:val="20"/>
          <w:szCs w:val="20"/>
        </w:rPr>
      </w:pPr>
    </w:p>
    <w:p w:rsidR="008C5D8C" w:rsidRPr="0010745A" w:rsidRDefault="00EA60B0" w:rsidP="008C5D8C">
      <w:pPr>
        <w:rPr>
          <w:sz w:val="20"/>
          <w:szCs w:val="20"/>
        </w:rPr>
      </w:pPr>
      <w:r>
        <w:rPr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F928D" wp14:editId="3285DB41">
                <wp:simplePos x="0" y="0"/>
                <wp:positionH relativeFrom="column">
                  <wp:posOffset>2266637</wp:posOffset>
                </wp:positionH>
                <wp:positionV relativeFrom="paragraph">
                  <wp:posOffset>195580</wp:posOffset>
                </wp:positionV>
                <wp:extent cx="4352925" cy="2619375"/>
                <wp:effectExtent l="0" t="0" r="47625" b="666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261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AEE3" id="Rectángulo 4" o:spid="_x0000_s1026" style="position:absolute;margin-left:178.5pt;margin-top:15.4pt;width:342.75pt;height:20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" strokecolor="#95b3d7" strokeweight="1pt">
                <v:fill color2="#b8cce4" focus="100%" type="gradient"/>
                <v:shadow on="t" color="#243f60" opacity=".5" offset="1pt"/>
              </v:rect>
            </w:pict>
          </mc:Fallback>
        </mc:AlternateContent>
      </w:r>
    </w:p>
    <w:p w:rsidR="008C5D8C" w:rsidRPr="0010745A" w:rsidRDefault="00EA60B0" w:rsidP="008C5D8C">
      <w:pPr>
        <w:ind w:left="284"/>
        <w:rPr>
          <w:sz w:val="20"/>
          <w:szCs w:val="20"/>
        </w:rPr>
      </w:pPr>
      <w:r>
        <w:rPr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910A6" wp14:editId="2C408773">
                <wp:simplePos x="0" y="0"/>
                <wp:positionH relativeFrom="column">
                  <wp:posOffset>2405380</wp:posOffset>
                </wp:positionH>
                <wp:positionV relativeFrom="paragraph">
                  <wp:posOffset>293370</wp:posOffset>
                </wp:positionV>
                <wp:extent cx="4095750" cy="21170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11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D97" w:rsidRPr="00D47CBE" w:rsidRDefault="002B1D97" w:rsidP="00D47C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</w:pPr>
                            <w:r w:rsidRPr="00D47CB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 xml:space="preserve">Informe sobre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c</w:t>
                            </w:r>
                            <w:r w:rsidRPr="00D47CB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 xml:space="preserve">apital,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g</w:t>
                            </w:r>
                            <w:r w:rsidRPr="00D47CB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 xml:space="preserve">estión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r</w:t>
                            </w:r>
                            <w:r w:rsidRPr="00D47CB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iesgos y otros requisitos prudenciales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 xml:space="preserve"> (*)</w:t>
                            </w:r>
                          </w:p>
                          <w:p w:rsidR="002B1D97" w:rsidRPr="00D47CBE" w:rsidRDefault="002B1D97" w:rsidP="00D47C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</w:pPr>
                          </w:p>
                          <w:p w:rsidR="002B1D97" w:rsidRPr="00D47CBE" w:rsidRDefault="002B1D97" w:rsidP="00D47C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(</w:t>
                            </w:r>
                            <w:r w:rsidRPr="00D47CB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UY" w:eastAsia="es-UY"/>
                              </w:rPr>
                              <w:t>ilar III -DISCIPLINA DE MERCADO)</w:t>
                            </w:r>
                          </w:p>
                          <w:p w:rsidR="002B1D97" w:rsidRDefault="002B1D97" w:rsidP="008C5D8C">
                            <w:pPr>
                              <w:spacing w:line="360" w:lineRule="auto"/>
                              <w:jc w:val="center"/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</w:pPr>
                          </w:p>
                          <w:p w:rsidR="002B1D97" w:rsidRPr="00A42BD4" w:rsidRDefault="00992539" w:rsidP="008C5D8C">
                            <w:pPr>
                              <w:spacing w:line="360" w:lineRule="auto"/>
                              <w:jc w:val="center"/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</w:pPr>
                            <w:r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  <w:t>Junio</w:t>
                            </w:r>
                            <w:r w:rsidR="002B1D97"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  <w:t xml:space="preserve"> de</w:t>
                            </w:r>
                            <w:r w:rsidR="002B1D97" w:rsidRPr="00A42BD4"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  <w:t xml:space="preserve"> 201</w:t>
                            </w:r>
                            <w:r w:rsidR="002B1D97">
                              <w:rPr>
                                <w:rFonts w:ascii="BentonSansBBVA" w:hAnsi="BentonSansBBVA" w:cs="Arial"/>
                                <w:b/>
                                <w:sz w:val="40"/>
                                <w:szCs w:val="40"/>
                                <w:lang w:val="es-UY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910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9.4pt;margin-top:23.1pt;width:322.5pt;height:1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ysvAIAAME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" filled="f" stroked="f">
                <v:textbox>
                  <w:txbxContent>
                    <w:p w:rsidR="002B1D97" w:rsidRPr="00D47CBE" w:rsidRDefault="002B1D97" w:rsidP="00D47C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</w:pPr>
                      <w:r w:rsidRPr="00D47CB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 xml:space="preserve">Informe sobre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c</w:t>
                      </w:r>
                      <w:r w:rsidRPr="00D47CB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 xml:space="preserve">apital,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g</w:t>
                      </w:r>
                      <w:r w:rsidRPr="00D47CB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 xml:space="preserve">estión de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r</w:t>
                      </w:r>
                      <w:r w:rsidRPr="00D47CB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iesgos y otros requisitos prudenciales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 xml:space="preserve"> (*)</w:t>
                      </w:r>
                    </w:p>
                    <w:p w:rsidR="002B1D97" w:rsidRPr="00D47CBE" w:rsidRDefault="002B1D97" w:rsidP="00D47C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</w:pPr>
                    </w:p>
                    <w:p w:rsidR="002B1D97" w:rsidRPr="00D47CBE" w:rsidRDefault="002B1D97" w:rsidP="00D47C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(</w:t>
                      </w:r>
                      <w:r w:rsidRPr="00D47CB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P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s-UY" w:eastAsia="es-UY"/>
                        </w:rPr>
                        <w:t>ilar III -DISCIPLINA DE MERCADO)</w:t>
                      </w:r>
                    </w:p>
                    <w:p w:rsidR="002B1D97" w:rsidRDefault="002B1D97" w:rsidP="008C5D8C">
                      <w:pPr>
                        <w:spacing w:line="360" w:lineRule="auto"/>
                        <w:jc w:val="center"/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</w:pPr>
                    </w:p>
                    <w:p w:rsidR="002B1D97" w:rsidRPr="00A42BD4" w:rsidRDefault="00992539" w:rsidP="008C5D8C">
                      <w:pPr>
                        <w:spacing w:line="360" w:lineRule="auto"/>
                        <w:jc w:val="center"/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</w:pPr>
                      <w:r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  <w:t>Junio</w:t>
                      </w:r>
                      <w:r w:rsidR="002B1D97"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  <w:t xml:space="preserve"> de</w:t>
                      </w:r>
                      <w:r w:rsidR="002B1D97" w:rsidRPr="00A42BD4"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  <w:t xml:space="preserve"> 201</w:t>
                      </w:r>
                      <w:r w:rsidR="002B1D97">
                        <w:rPr>
                          <w:rFonts w:ascii="BentonSansBBVA" w:hAnsi="BentonSansBBVA" w:cs="Arial"/>
                          <w:b/>
                          <w:sz w:val="40"/>
                          <w:szCs w:val="40"/>
                          <w:lang w:val="es-UY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1B5653" w:rsidP="008C5D8C">
      <w:pPr>
        <w:rPr>
          <w:sz w:val="20"/>
          <w:szCs w:val="20"/>
        </w:rPr>
      </w:pPr>
      <w:r>
        <w:rPr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B391" wp14:editId="69358DCD">
                <wp:simplePos x="0" y="0"/>
                <wp:positionH relativeFrom="column">
                  <wp:posOffset>2561590</wp:posOffset>
                </wp:positionH>
                <wp:positionV relativeFrom="paragraph">
                  <wp:posOffset>252095</wp:posOffset>
                </wp:positionV>
                <wp:extent cx="3733800" cy="0"/>
                <wp:effectExtent l="0" t="0" r="19050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BF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01.7pt;margin-top:19.85pt;width:2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" strokecolor="#243f60"/>
            </w:pict>
          </mc:Fallback>
        </mc:AlternateContent>
      </w: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8C5D8C" w:rsidRPr="0010745A" w:rsidRDefault="008C5D8C" w:rsidP="008C5D8C">
      <w:pPr>
        <w:ind w:left="284"/>
        <w:rPr>
          <w:sz w:val="20"/>
          <w:szCs w:val="20"/>
        </w:rPr>
      </w:pPr>
    </w:p>
    <w:p w:rsidR="00D47CBE" w:rsidRPr="0010745A" w:rsidRDefault="00D47CBE" w:rsidP="00874ABA">
      <w:pPr>
        <w:rPr>
          <w:sz w:val="20"/>
          <w:szCs w:val="20"/>
        </w:rPr>
      </w:pPr>
    </w:p>
    <w:p w:rsidR="008C5D8C" w:rsidRDefault="001B5653" w:rsidP="008C5D8C">
      <w:pPr>
        <w:pStyle w:val="Ttulo"/>
        <w:rPr>
          <w:rFonts w:ascii="BentonSansBBVA" w:hAnsi="BentonSansBBVA"/>
          <w:lang w:val="es-UY"/>
        </w:rPr>
      </w:pPr>
      <w:r>
        <w:rPr>
          <w:rFonts w:ascii="BentonSansBBVA" w:hAnsi="BentonSansBBVA"/>
          <w:lang w:val="es-UY"/>
        </w:rPr>
        <w:t>Ba</w:t>
      </w:r>
      <w:r w:rsidR="008C5D8C" w:rsidRPr="008D364F">
        <w:rPr>
          <w:rFonts w:ascii="BentonSansBBVA" w:hAnsi="BentonSansBBVA"/>
          <w:lang w:val="es-UY"/>
        </w:rPr>
        <w:t>nco Bilbao Vizcaya Argentaria Uruguay S.A</w:t>
      </w:r>
    </w:p>
    <w:p w:rsidR="002B1D97" w:rsidRPr="002B1D97" w:rsidRDefault="002B1D97" w:rsidP="002B1D97">
      <w:pPr>
        <w:rPr>
          <w:lang w:val="es-UY"/>
        </w:rPr>
      </w:pPr>
    </w:p>
    <w:p w:rsidR="00EA60B0" w:rsidRDefault="00EA60B0" w:rsidP="001B5653">
      <w:pPr>
        <w:pStyle w:val="Textoindependienteprimerasangra2"/>
        <w:spacing w:line="360" w:lineRule="auto"/>
        <w:ind w:left="-284" w:right="707" w:firstLine="0"/>
        <w:jc w:val="both"/>
        <w:rPr>
          <w:rFonts w:ascii="BentonSansBBVA" w:hAnsi="BentonSansBBVA"/>
          <w:color w:val="244061"/>
          <w:sz w:val="20"/>
          <w:szCs w:val="20"/>
        </w:rPr>
      </w:pPr>
    </w:p>
    <w:p w:rsidR="001F0257" w:rsidRPr="002B1D97" w:rsidRDefault="00874ABA" w:rsidP="001B5653">
      <w:pPr>
        <w:pStyle w:val="Textoindependienteprimerasangra2"/>
        <w:spacing w:line="360" w:lineRule="auto"/>
        <w:ind w:left="-284" w:right="707" w:firstLine="0"/>
        <w:jc w:val="both"/>
        <w:rPr>
          <w:rFonts w:ascii="BentonSansBBVA" w:hAnsi="BentonSansBBVA"/>
          <w:color w:val="244061"/>
          <w:sz w:val="20"/>
          <w:szCs w:val="20"/>
        </w:rPr>
      </w:pPr>
      <w:r w:rsidRPr="002B1D97">
        <w:rPr>
          <w:rFonts w:ascii="BentonSansBBVA" w:hAnsi="BentonSansBBVA"/>
          <w:color w:val="244061"/>
          <w:sz w:val="20"/>
          <w:szCs w:val="20"/>
        </w:rPr>
        <w:t xml:space="preserve">(*) Se incluye la información a modificarse respecto del informe de los períodos anteriores de acuerdo a lo establecido </w:t>
      </w:r>
      <w:r w:rsidRPr="000C4DD0">
        <w:rPr>
          <w:rFonts w:ascii="BentonSansBBVA" w:hAnsi="BentonSansBBVA"/>
          <w:color w:val="244061"/>
          <w:sz w:val="20"/>
          <w:szCs w:val="20"/>
        </w:rPr>
        <w:t xml:space="preserve">en la </w:t>
      </w:r>
      <w:r w:rsidR="002B1D97" w:rsidRPr="000C4DD0">
        <w:rPr>
          <w:rFonts w:ascii="BentonSansBBVA" w:hAnsi="BentonSansBBVA"/>
          <w:color w:val="244061"/>
          <w:sz w:val="20"/>
          <w:szCs w:val="20"/>
        </w:rPr>
        <w:t xml:space="preserve">Comunicación </w:t>
      </w:r>
      <w:r w:rsidR="00992539" w:rsidRPr="000C4DD0">
        <w:rPr>
          <w:rFonts w:ascii="BentonSansBBVA" w:hAnsi="BentonSansBBVA"/>
          <w:color w:val="244061"/>
          <w:sz w:val="20"/>
          <w:szCs w:val="20"/>
        </w:rPr>
        <w:t>2019/147</w:t>
      </w:r>
      <w:r w:rsidR="002B1D97" w:rsidRPr="000C4DD0">
        <w:rPr>
          <w:rFonts w:ascii="BentonSansBBVA" w:hAnsi="BentonSansBBVA"/>
          <w:color w:val="244061"/>
          <w:sz w:val="20"/>
          <w:szCs w:val="20"/>
        </w:rPr>
        <w:t xml:space="preserve"> del</w:t>
      </w:r>
      <w:r w:rsidR="002B1D97" w:rsidRPr="002B1D97">
        <w:rPr>
          <w:rFonts w:ascii="BentonSansBBVA" w:hAnsi="BentonSansBBVA"/>
          <w:color w:val="244061"/>
          <w:sz w:val="20"/>
          <w:szCs w:val="20"/>
        </w:rPr>
        <w:t xml:space="preserve"> Banco Central del Uruguay.</w:t>
      </w:r>
      <w:r w:rsidR="008C5D8C" w:rsidRPr="002B1D97">
        <w:rPr>
          <w:rFonts w:ascii="BentonSansBBVA" w:hAnsi="BentonSansBBVA"/>
          <w:color w:val="244061"/>
          <w:sz w:val="20"/>
          <w:szCs w:val="20"/>
        </w:rPr>
        <w:br w:type="page"/>
      </w:r>
    </w:p>
    <w:p w:rsidR="001F0257" w:rsidRDefault="001F0257" w:rsidP="001B5653">
      <w:pPr>
        <w:pStyle w:val="Textoindependienteprimerasangra2"/>
        <w:spacing w:line="360" w:lineRule="auto"/>
        <w:ind w:left="-284" w:right="707" w:firstLine="0"/>
        <w:jc w:val="both"/>
        <w:rPr>
          <w:rFonts w:ascii="BentonSansBBVA" w:hAnsi="BentonSansBBVA"/>
          <w:b/>
          <w:color w:val="244061"/>
          <w:sz w:val="20"/>
          <w:szCs w:val="20"/>
        </w:rPr>
      </w:pPr>
    </w:p>
    <w:p w:rsidR="000C4DD0" w:rsidRDefault="000C4DD0" w:rsidP="001B5653">
      <w:pPr>
        <w:pStyle w:val="Textoindependienteprimerasangra2"/>
        <w:spacing w:line="360" w:lineRule="auto"/>
        <w:ind w:left="-284" w:right="707" w:firstLine="0"/>
        <w:jc w:val="both"/>
        <w:rPr>
          <w:rFonts w:ascii="BentonSansBBVA Book" w:hAnsi="BentonSansBBVA Book" w:cs="Arial"/>
          <w:b/>
        </w:rPr>
      </w:pPr>
    </w:p>
    <w:p w:rsidR="002E6DF6" w:rsidRPr="00A84FCF" w:rsidRDefault="002E6DF6" w:rsidP="000C4DD0">
      <w:pPr>
        <w:pStyle w:val="Textoindependienteprimerasangra2"/>
        <w:spacing w:line="360" w:lineRule="auto"/>
        <w:ind w:left="0" w:right="707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t>SECCION 1</w:t>
      </w:r>
      <w:r w:rsidR="00274E45">
        <w:rPr>
          <w:rFonts w:ascii="BentonSansBBVA Book" w:hAnsi="BentonSansBBVA Book" w:cs="Arial"/>
          <w:b/>
          <w:sz w:val="24"/>
          <w:szCs w:val="24"/>
        </w:rPr>
        <w:t xml:space="preserve">: </w:t>
      </w:r>
      <w:r w:rsidRPr="00A84FCF">
        <w:rPr>
          <w:rFonts w:ascii="BentonSansBBVA Book" w:hAnsi="BentonSansBBVA Book" w:cs="Arial"/>
          <w:b/>
          <w:sz w:val="24"/>
          <w:szCs w:val="24"/>
        </w:rPr>
        <w:t xml:space="preserve"> Visión general de la gestión de riesgos, aspectos </w:t>
      </w:r>
      <w:r w:rsidRPr="00BF2C2C">
        <w:rPr>
          <w:rFonts w:ascii="BentonSansBBVA Book" w:hAnsi="BentonSansBBVA Book" w:cs="Arial"/>
          <w:b/>
          <w:sz w:val="24"/>
          <w:szCs w:val="24"/>
        </w:rPr>
        <w:t>prudenciales clave</w:t>
      </w:r>
      <w:r w:rsidR="00992539" w:rsidRPr="00BF2C2C">
        <w:rPr>
          <w:rFonts w:ascii="BentonSansBBVA Book" w:hAnsi="BentonSansBBVA Book" w:cs="Arial"/>
          <w:b/>
          <w:sz w:val="24"/>
          <w:szCs w:val="24"/>
        </w:rPr>
        <w:t xml:space="preserve"> y activos ponderados por riesgo</w:t>
      </w:r>
      <w:r w:rsidRPr="00BF2C2C">
        <w:rPr>
          <w:rFonts w:ascii="BentonSansBBVA Book" w:hAnsi="BentonSansBBVA Book" w:cs="Arial"/>
          <w:b/>
          <w:sz w:val="24"/>
          <w:szCs w:val="24"/>
        </w:rPr>
        <w:t>.</w:t>
      </w:r>
    </w:p>
    <w:p w:rsidR="001B5653" w:rsidRDefault="002E6DF6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BF2C2C">
        <w:rPr>
          <w:rFonts w:ascii="BentonSansBBVA Book" w:hAnsi="BentonSansBBVA Book" w:cs="Arial"/>
          <w:b/>
        </w:rPr>
        <w:t xml:space="preserve">Formulario 1.1 </w:t>
      </w:r>
      <w:r w:rsidR="004942D4">
        <w:rPr>
          <w:rFonts w:ascii="BentonSansBBVA Book" w:hAnsi="BentonSansBBVA Book" w:cs="Arial"/>
          <w:b/>
        </w:rPr>
        <w:t xml:space="preserve">- </w:t>
      </w:r>
      <w:r w:rsidRPr="00BF2C2C">
        <w:rPr>
          <w:rFonts w:ascii="BentonSansBBVA Book" w:hAnsi="BentonSansBBVA Book" w:cs="Arial"/>
          <w:b/>
        </w:rPr>
        <w:t>Mediciones Clave</w:t>
      </w:r>
      <w:r w:rsidR="00DF70FB" w:rsidRPr="00BF2C2C">
        <w:rPr>
          <w:rFonts w:ascii="BentonSansBBVA Book" w:hAnsi="BentonSansBBVA Book" w:cs="Arial"/>
          <w:b/>
        </w:rPr>
        <w:t xml:space="preserve"> (Trimestral)</w:t>
      </w:r>
    </w:p>
    <w:p w:rsidR="00EA60B0" w:rsidRDefault="00EA60B0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</w:pPr>
    </w:p>
    <w:p w:rsidR="00BF2C2C" w:rsidRDefault="00222048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</w:t>
      </w:r>
      <w:r w:rsidR="005A7671">
        <w:t xml:space="preserve"> uruguayos</w:t>
      </w:r>
    </w:p>
    <w:p w:rsidR="001B5653" w:rsidRPr="002B1D97" w:rsidRDefault="00BF2C2C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lang w:val="es-UY"/>
        </w:rPr>
      </w:pPr>
      <w:r w:rsidRPr="00BF2C2C">
        <w:rPr>
          <w:noProof/>
          <w:lang w:val="es-UY" w:eastAsia="es-UY"/>
        </w:rPr>
        <w:drawing>
          <wp:inline distT="0" distB="0" distL="0" distR="0">
            <wp:extent cx="8894618" cy="4323441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578" cy="433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53" w:rsidRDefault="001B5653">
      <w:pPr>
        <w:rPr>
          <w:rFonts w:ascii="BentonSansBBVA Book" w:hAnsi="BentonSansBBVA Book" w:cs="Arial"/>
          <w:b/>
        </w:rPr>
      </w:pPr>
      <w:r>
        <w:rPr>
          <w:rFonts w:ascii="BentonSansBBVA Book" w:hAnsi="BentonSansBBVA Book" w:cs="Arial"/>
          <w:b/>
        </w:rPr>
        <w:br w:type="page"/>
      </w:r>
    </w:p>
    <w:p w:rsidR="00BF2C2C" w:rsidRDefault="00BF2C2C">
      <w:pPr>
        <w:rPr>
          <w:rFonts w:ascii="BentonSansBBVA Book" w:hAnsi="BentonSansBBVA Book" w:cs="Arial"/>
          <w:b/>
        </w:rPr>
      </w:pPr>
      <w:r w:rsidRPr="00BF2C2C">
        <w:rPr>
          <w:noProof/>
          <w:lang w:val="es-UY" w:eastAsia="es-UY"/>
        </w:rPr>
        <w:lastRenderedPageBreak/>
        <w:drawing>
          <wp:inline distT="0" distB="0" distL="0" distR="0">
            <wp:extent cx="8892540" cy="4012503"/>
            <wp:effectExtent l="0" t="0" r="381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371" cy="403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2C" w:rsidRDefault="00BF2C2C">
      <w:pPr>
        <w:rPr>
          <w:rFonts w:ascii="BentonSansBBVA Book" w:hAnsi="BentonSansBBVA Book" w:cs="Arial"/>
          <w:b/>
        </w:rPr>
      </w:pPr>
    </w:p>
    <w:p w:rsidR="00BF2C2C" w:rsidRDefault="00BF2C2C">
      <w:pPr>
        <w:rPr>
          <w:rFonts w:ascii="BentonSansBBVA Book" w:hAnsi="BentonSansBBVA Book" w:cs="Arial"/>
          <w:b/>
        </w:rPr>
      </w:pPr>
      <w:r w:rsidRPr="00BF2C2C">
        <w:rPr>
          <w:noProof/>
          <w:lang w:val="es-UY" w:eastAsia="es-UY"/>
        </w:rPr>
        <w:drawing>
          <wp:inline distT="0" distB="0" distL="0" distR="0">
            <wp:extent cx="8892540" cy="1501346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ntonSansBBVA Book" w:hAnsi="BentonSansBBVA Book" w:cs="Arial"/>
          <w:b/>
        </w:rPr>
        <w:br w:type="page"/>
      </w:r>
    </w:p>
    <w:p w:rsidR="003957B8" w:rsidRDefault="003957B8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4942D4" w:rsidRPr="004942D4" w:rsidRDefault="00B272FB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4942D4">
        <w:rPr>
          <w:rFonts w:ascii="BentonSansBBVA Book" w:hAnsi="BentonSansBBVA Book" w:cs="Arial"/>
          <w:b/>
        </w:rPr>
        <w:t>Formulario 1.3</w:t>
      </w:r>
      <w:r w:rsidR="004942D4">
        <w:rPr>
          <w:rFonts w:ascii="BentonSansBBVA Book" w:hAnsi="BentonSansBBVA Book" w:cs="Arial"/>
          <w:b/>
        </w:rPr>
        <w:t xml:space="preserve"> –</w:t>
      </w:r>
      <w:r w:rsidRPr="004942D4">
        <w:rPr>
          <w:rFonts w:ascii="BentonSansBBVA Book" w:hAnsi="BentonSansBBVA Book" w:cs="Arial"/>
          <w:b/>
        </w:rPr>
        <w:t xml:space="preserve"> Visión general de los activos ponderados por riesgo</w:t>
      </w:r>
      <w:r w:rsidR="00DF70FB" w:rsidRPr="004942D4">
        <w:rPr>
          <w:rFonts w:ascii="BentonSansBBVA Book" w:hAnsi="BentonSansBBVA Book" w:cs="Arial"/>
          <w:b/>
        </w:rPr>
        <w:t xml:space="preserve"> (Trimestral)</w:t>
      </w:r>
      <w:r w:rsidR="00222048" w:rsidRPr="004942D4">
        <w:rPr>
          <w:rFonts w:ascii="BentonSansBBVA Book" w:hAnsi="BentonSansBBVA Book" w:cs="Arial"/>
          <w:b/>
        </w:rPr>
        <w:tab/>
      </w:r>
      <w:r w:rsidR="00222048" w:rsidRPr="004942D4">
        <w:rPr>
          <w:rFonts w:ascii="BentonSansBBVA Book" w:hAnsi="BentonSansBBVA Book" w:cs="Arial"/>
          <w:b/>
        </w:rPr>
        <w:tab/>
      </w:r>
    </w:p>
    <w:p w:rsidR="004942D4" w:rsidRPr="004942D4" w:rsidRDefault="004942D4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BF2C2C" w:rsidRDefault="00461752" w:rsidP="004942D4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461752">
        <w:rPr>
          <w:noProof/>
          <w:lang w:val="es-UY" w:eastAsia="es-UY"/>
        </w:rPr>
        <w:drawing>
          <wp:inline distT="0" distB="0" distL="0" distR="0">
            <wp:extent cx="7934325" cy="27146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2C" w:rsidRDefault="00BF2C2C">
      <w:pPr>
        <w:rPr>
          <w:rFonts w:ascii="BentonSansBBVA Book" w:hAnsi="BentonSansBBVA Book" w:cs="Arial"/>
          <w:b/>
          <w:sz w:val="24"/>
          <w:szCs w:val="24"/>
        </w:rPr>
      </w:pPr>
    </w:p>
    <w:p w:rsidR="00BF2C2C" w:rsidRDefault="004942D4">
      <w:pPr>
        <w:rPr>
          <w:rFonts w:ascii="BentonSansBBVA Book" w:hAnsi="BentonSansBBVA Book" w:cs="Arial"/>
          <w:b/>
          <w:sz w:val="24"/>
          <w:szCs w:val="24"/>
        </w:rPr>
      </w:pPr>
      <w:r w:rsidRPr="004942D4">
        <w:rPr>
          <w:noProof/>
          <w:lang w:val="es-UY" w:eastAsia="es-UY"/>
        </w:rPr>
        <w:drawing>
          <wp:inline distT="0" distB="0" distL="0" distR="0">
            <wp:extent cx="5536516" cy="1787856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59" cy="17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C2C">
        <w:rPr>
          <w:rFonts w:ascii="BentonSansBBVA Book" w:hAnsi="BentonSansBBVA Book" w:cs="Arial"/>
          <w:b/>
          <w:sz w:val="24"/>
          <w:szCs w:val="24"/>
        </w:rPr>
        <w:br w:type="page"/>
      </w:r>
    </w:p>
    <w:p w:rsidR="00992539" w:rsidRPr="00A84FCF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lastRenderedPageBreak/>
        <w:t>SECCIÓN 3: Composición del capital regulatorio (Responsabilidad Patrimonial Neta)</w:t>
      </w:r>
    </w:p>
    <w:p w:rsidR="000C4DD0" w:rsidRPr="00274E45" w:rsidRDefault="000C4DD0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992539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274E45">
        <w:rPr>
          <w:rFonts w:ascii="BentonSansBBVA Book" w:hAnsi="BentonSansBBVA Book" w:cs="Arial"/>
          <w:b/>
        </w:rPr>
        <w:t>Formulario 3.1</w:t>
      </w:r>
      <w:r w:rsidR="00274E45">
        <w:rPr>
          <w:rFonts w:ascii="BentonSansBBVA Book" w:hAnsi="BentonSansBBVA Book" w:cs="Arial"/>
          <w:b/>
        </w:rPr>
        <w:t xml:space="preserve"> -</w:t>
      </w:r>
      <w:r w:rsidRPr="00274E45">
        <w:rPr>
          <w:rFonts w:ascii="BentonSansBBVA Book" w:hAnsi="BentonSansBBVA Book" w:cs="Arial"/>
          <w:b/>
        </w:rPr>
        <w:t xml:space="preserve"> Composición de la Responsabilidad Patrimonial Neta (Semestral)</w:t>
      </w:r>
    </w:p>
    <w:p w:rsidR="00D43999" w:rsidRPr="004942D4" w:rsidRDefault="00D43999" w:rsidP="00D4399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992539" w:rsidRDefault="00FF6BFE" w:rsidP="00992539">
      <w:pPr>
        <w:jc w:val="center"/>
        <w:rPr>
          <w:rFonts w:ascii="BentonSansBBVA Book" w:hAnsi="BentonSansBBVA Book" w:cs="Arial"/>
          <w:b/>
        </w:rPr>
      </w:pPr>
      <w:r w:rsidRPr="00FF6BFE">
        <w:rPr>
          <w:noProof/>
          <w:lang w:val="es-UY" w:eastAsia="es-UY"/>
        </w:rPr>
        <w:drawing>
          <wp:inline distT="0" distB="0" distL="0" distR="0">
            <wp:extent cx="5705475" cy="43815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99" w:rsidRDefault="00D43999" w:rsidP="00D43999">
      <w:pPr>
        <w:ind w:left="2124"/>
      </w:pPr>
    </w:p>
    <w:p w:rsidR="00D43999" w:rsidRDefault="00D43999" w:rsidP="00D43999">
      <w:pPr>
        <w:ind w:left="2124"/>
      </w:pPr>
    </w:p>
    <w:p w:rsidR="00274E45" w:rsidRDefault="00274E45" w:rsidP="00D43999">
      <w:pPr>
        <w:ind w:left="2832"/>
        <w:rPr>
          <w:rFonts w:ascii="BentonSansBBVA Book" w:hAnsi="BentonSansBBVA Book" w:cs="Arial"/>
          <w:b/>
        </w:rPr>
      </w:pPr>
    </w:p>
    <w:p w:rsidR="00992539" w:rsidRDefault="00FF6BFE" w:rsidP="00274E45">
      <w:pPr>
        <w:ind w:left="2552"/>
        <w:rPr>
          <w:rFonts w:ascii="BentonSansBBVA Book" w:hAnsi="BentonSansBBVA Book" w:cs="Arial"/>
          <w:b/>
        </w:rPr>
      </w:pPr>
      <w:r w:rsidRPr="00FF6BFE">
        <w:rPr>
          <w:noProof/>
          <w:lang w:val="es-UY" w:eastAsia="es-UY"/>
        </w:rPr>
        <w:drawing>
          <wp:inline distT="0" distB="0" distL="0" distR="0">
            <wp:extent cx="5705475" cy="42386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39">
        <w:rPr>
          <w:rFonts w:ascii="BentonSansBBVA Book" w:hAnsi="BentonSansBBVA Book" w:cs="Arial"/>
          <w:b/>
        </w:rPr>
        <w:br w:type="page"/>
      </w:r>
    </w:p>
    <w:p w:rsidR="00992539" w:rsidRDefault="00FF6BFE" w:rsidP="00992539">
      <w:pPr>
        <w:jc w:val="center"/>
        <w:rPr>
          <w:rFonts w:ascii="BentonSansBBVA Book" w:hAnsi="BentonSansBBVA Book" w:cs="Arial"/>
          <w:b/>
        </w:rPr>
      </w:pPr>
      <w:r w:rsidRPr="00FF6BFE">
        <w:rPr>
          <w:noProof/>
          <w:lang w:val="es-UY" w:eastAsia="es-UY"/>
        </w:rPr>
        <w:lastRenderedPageBreak/>
        <w:drawing>
          <wp:inline distT="0" distB="0" distL="0" distR="0">
            <wp:extent cx="5705475" cy="55626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39" w:rsidRDefault="00274E45" w:rsidP="00992539">
      <w:pPr>
        <w:jc w:val="center"/>
        <w:rPr>
          <w:rFonts w:ascii="BentonSansBBVA Book" w:hAnsi="BentonSansBBVA Book" w:cs="Arial"/>
          <w:b/>
        </w:rPr>
      </w:pPr>
      <w:r w:rsidRPr="00274E45">
        <w:rPr>
          <w:noProof/>
          <w:lang w:val="es-UY" w:eastAsia="es-UY"/>
        </w:rPr>
        <w:drawing>
          <wp:inline distT="0" distB="0" distL="0" distR="0">
            <wp:extent cx="6605270" cy="614045"/>
            <wp:effectExtent l="0" t="0" r="508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39" w:rsidRDefault="00992539" w:rsidP="00992539">
      <w:pPr>
        <w:jc w:val="center"/>
        <w:rPr>
          <w:rFonts w:ascii="BentonSansBBVA Book" w:hAnsi="BentonSansBBVA Book" w:cs="Arial"/>
          <w:b/>
        </w:rPr>
      </w:pPr>
    </w:p>
    <w:p w:rsidR="00992539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274E45">
        <w:rPr>
          <w:rFonts w:ascii="BentonSansBBVA Book" w:hAnsi="BentonSansBBVA Book" w:cs="Arial"/>
          <w:b/>
        </w:rPr>
        <w:t>Tabla 3.2</w:t>
      </w:r>
      <w:r w:rsidR="00274E45" w:rsidRPr="00274E45">
        <w:rPr>
          <w:rFonts w:ascii="BentonSansBBVA Book" w:hAnsi="BentonSansBBVA Book" w:cs="Arial"/>
          <w:b/>
        </w:rPr>
        <w:t xml:space="preserve"> -</w:t>
      </w:r>
      <w:r w:rsidRPr="00274E45">
        <w:rPr>
          <w:rFonts w:ascii="BentonSansBBVA Book" w:hAnsi="BentonSansBBVA Book" w:cs="Arial"/>
          <w:b/>
        </w:rPr>
        <w:t xml:space="preserve"> Obligaciones subordinadas, acciones preferidas e instrumentos subordinados convertibles en acciones computables para la </w:t>
      </w:r>
      <w:proofErr w:type="spellStart"/>
      <w:r w:rsidRPr="00274E45">
        <w:rPr>
          <w:rFonts w:ascii="BentonSansBBVA Book" w:hAnsi="BentonSansBBVA Book" w:cs="Arial"/>
          <w:b/>
        </w:rPr>
        <w:t>Resp</w:t>
      </w:r>
      <w:proofErr w:type="spellEnd"/>
      <w:r w:rsidRPr="00274E45">
        <w:rPr>
          <w:rFonts w:ascii="BentonSansBBVA Book" w:hAnsi="BentonSansBBVA Book" w:cs="Arial"/>
          <w:b/>
        </w:rPr>
        <w:t>. Patrimonial Neta (Mínimo Semestral)</w:t>
      </w:r>
    </w:p>
    <w:p w:rsidR="00274E45" w:rsidRDefault="00274E45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274E45" w:rsidRDefault="00274E45" w:rsidP="00274E45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sz w:val="20"/>
          <w:szCs w:val="20"/>
        </w:rPr>
      </w:pPr>
    </w:p>
    <w:p w:rsidR="00274E45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sz w:val="20"/>
          <w:szCs w:val="20"/>
        </w:rPr>
      </w:pPr>
      <w:r>
        <w:t>Cifras en miles de pesos uruguayos</w:t>
      </w:r>
    </w:p>
    <w:p w:rsidR="00274E45" w:rsidRDefault="00274E45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274E45" w:rsidRDefault="00274E45" w:rsidP="00274E45">
      <w:pPr>
        <w:pStyle w:val="Lista2"/>
        <w:spacing w:line="360" w:lineRule="auto"/>
        <w:ind w:left="1416" w:firstLine="0"/>
        <w:jc w:val="both"/>
        <w:rPr>
          <w:rFonts w:ascii="BentonSansBBVA Book" w:hAnsi="BentonSansBBVA Book" w:cs="Arial"/>
          <w:b/>
        </w:rPr>
      </w:pPr>
    </w:p>
    <w:p w:rsidR="00274E45" w:rsidRDefault="00FF6BFE">
      <w:pPr>
        <w:rPr>
          <w:rFonts w:ascii="BentonSansBBVA Book" w:hAnsi="BentonSansBBVA Book" w:cs="Arial"/>
          <w:b/>
          <w:sz w:val="24"/>
          <w:szCs w:val="24"/>
        </w:rPr>
      </w:pPr>
      <w:r w:rsidRPr="00FF6BFE">
        <w:rPr>
          <w:noProof/>
          <w:lang w:val="es-UY" w:eastAsia="es-UY"/>
        </w:rPr>
        <w:drawing>
          <wp:inline distT="0" distB="0" distL="0" distR="0">
            <wp:extent cx="7639050" cy="37052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F3" w:rsidRDefault="00134BF3">
      <w:pPr>
        <w:rPr>
          <w:rFonts w:ascii="BentonSansBBVA Book" w:hAnsi="BentonSansBBVA Book" w:cs="Arial"/>
          <w:b/>
          <w:sz w:val="24"/>
          <w:szCs w:val="24"/>
        </w:rPr>
      </w:pPr>
    </w:p>
    <w:p w:rsidR="00DF70FB" w:rsidRPr="00A84FCF" w:rsidRDefault="00DF70FB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lastRenderedPageBreak/>
        <w:t>SECCIÓN 4: Ratio de capital por activos y riesgos y compromisos contingentes</w:t>
      </w:r>
    </w:p>
    <w:p w:rsidR="005C0524" w:rsidRDefault="005C0524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C0524" w:rsidRDefault="005C0524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274E45">
        <w:rPr>
          <w:rFonts w:ascii="BentonSansBBVA Book" w:hAnsi="BentonSansBBVA Book" w:cs="Arial"/>
          <w:b/>
        </w:rPr>
        <w:t>Formulario 4.1</w:t>
      </w:r>
      <w:r w:rsidR="00274E45">
        <w:rPr>
          <w:rFonts w:ascii="BentonSansBBVA Book" w:hAnsi="BentonSansBBVA Book" w:cs="Arial"/>
          <w:b/>
        </w:rPr>
        <w:t xml:space="preserve"> -</w:t>
      </w:r>
      <w:r w:rsidRPr="00274E45">
        <w:rPr>
          <w:rFonts w:ascii="BentonSansBBVA Book" w:hAnsi="BentonSansBBVA Book" w:cs="Arial"/>
          <w:b/>
        </w:rPr>
        <w:t xml:space="preserve"> Divulgación del ratio de capital por activos y riesgos y compromisos contingentes (Trimestral)</w:t>
      </w:r>
    </w:p>
    <w:p w:rsidR="00222048" w:rsidRDefault="00222048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274E45" w:rsidRDefault="00274E45" w:rsidP="00274E45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</w:rPr>
      </w:pPr>
    </w:p>
    <w:p w:rsidR="00274E45" w:rsidRDefault="005D2978" w:rsidP="00EA60B0">
      <w:pPr>
        <w:pStyle w:val="Lista2"/>
        <w:spacing w:line="360" w:lineRule="auto"/>
        <w:ind w:left="1418" w:firstLine="0"/>
        <w:jc w:val="both"/>
        <w:rPr>
          <w:rFonts w:ascii="BentonSansBBVA Book" w:hAnsi="BentonSansBBVA Book" w:cs="Arial"/>
        </w:rPr>
      </w:pPr>
      <w:r w:rsidRPr="005D2978">
        <w:rPr>
          <w:noProof/>
          <w:lang w:val="es-UY" w:eastAsia="es-UY"/>
        </w:rPr>
        <w:drawing>
          <wp:inline distT="0" distB="0" distL="0" distR="0">
            <wp:extent cx="6143625" cy="36290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45" w:rsidRDefault="00274E45">
      <w:pPr>
        <w:rPr>
          <w:rFonts w:ascii="BentonSansBBVA Book" w:hAnsi="BentonSansBBVA Book" w:cs="Arial"/>
        </w:rPr>
      </w:pPr>
    </w:p>
    <w:p w:rsidR="00547F6B" w:rsidRDefault="00547F6B">
      <w:pPr>
        <w:rPr>
          <w:rFonts w:ascii="BentonSansBBVA Book" w:hAnsi="BentonSansBBVA Book" w:cs="Arial"/>
        </w:rPr>
      </w:pPr>
    </w:p>
    <w:p w:rsidR="00992317" w:rsidRDefault="00992317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</w:p>
    <w:p w:rsidR="00992317" w:rsidRDefault="00992317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</w:p>
    <w:p w:rsidR="00992539" w:rsidRPr="00A84FCF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lastRenderedPageBreak/>
        <w:t>SECCIÓN 5: Riesgo de crédito</w:t>
      </w:r>
    </w:p>
    <w:p w:rsidR="00992539" w:rsidRPr="00AA74A1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</w:p>
    <w:p w:rsidR="00992539" w:rsidRPr="00AA74A1" w:rsidRDefault="00992539" w:rsidP="0099253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  <w:r w:rsidRPr="00AA74A1">
        <w:rPr>
          <w:rFonts w:ascii="BentonSansBBVA Book" w:hAnsi="BentonSansBBVA Book" w:cs="Arial"/>
          <w:b/>
          <w:color w:val="000000" w:themeColor="text1"/>
        </w:rPr>
        <w:t>SECCIÓN 5.1 - Información general sobre riesgo de crédito</w:t>
      </w:r>
    </w:p>
    <w:p w:rsidR="00547F6B" w:rsidRDefault="00FE12EC" w:rsidP="00547F6B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992317">
        <w:rPr>
          <w:rFonts w:ascii="BentonSansBBVA Book" w:hAnsi="BentonSansBBVA Book" w:cs="Arial"/>
          <w:b/>
        </w:rPr>
        <w:t xml:space="preserve">Formulario 5.1.2 </w:t>
      </w:r>
      <w:r w:rsidR="00274E45" w:rsidRPr="00992317">
        <w:rPr>
          <w:rFonts w:ascii="BentonSansBBVA Book" w:hAnsi="BentonSansBBVA Book" w:cs="Arial"/>
          <w:b/>
        </w:rPr>
        <w:t xml:space="preserve">- </w:t>
      </w:r>
      <w:r w:rsidRPr="00992317">
        <w:rPr>
          <w:rFonts w:ascii="BentonSansBBVA Book" w:hAnsi="BentonSansBBVA Book" w:cs="Arial"/>
          <w:b/>
        </w:rPr>
        <w:t>Composición de riesgos Sector Financiero y Sector No Financiero (Semestral)</w:t>
      </w:r>
      <w:r w:rsidR="001B3568">
        <w:rPr>
          <w:rFonts w:ascii="BentonSansBBVA Book" w:hAnsi="BentonSansBBVA Book" w:cs="Arial"/>
          <w:b/>
        </w:rPr>
        <w:t xml:space="preserve"> </w:t>
      </w: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FE12EC" w:rsidRDefault="00992317" w:rsidP="00547F6B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992317">
        <w:rPr>
          <w:noProof/>
          <w:lang w:val="es-UY" w:eastAsia="es-UY"/>
        </w:rPr>
        <w:drawing>
          <wp:inline distT="0" distB="0" distL="0" distR="0">
            <wp:extent cx="7362825" cy="514401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93" cy="51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A84FCF" w:rsidRDefault="00A84FCF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2B1C28">
        <w:rPr>
          <w:rFonts w:ascii="BentonSansBBVA Book" w:hAnsi="BentonSansBBVA Book" w:cs="Arial"/>
          <w:b/>
        </w:rPr>
        <w:t>Formulario 5.1.3</w:t>
      </w:r>
      <w:r w:rsidR="00274E45" w:rsidRPr="002B1C28">
        <w:rPr>
          <w:rFonts w:ascii="BentonSansBBVA Book" w:hAnsi="BentonSansBBVA Book" w:cs="Arial"/>
          <w:b/>
        </w:rPr>
        <w:t xml:space="preserve"> -</w:t>
      </w:r>
      <w:r w:rsidRPr="002B1C28">
        <w:rPr>
          <w:rFonts w:ascii="BentonSansBBVA Book" w:hAnsi="BentonSansBBVA Book" w:cs="Arial"/>
          <w:b/>
        </w:rPr>
        <w:t xml:space="preserve"> Información adicional sobre deterioro de créditos (Semestral)</w:t>
      </w: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5A7671" w:rsidRDefault="005A7671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A84FCF" w:rsidRDefault="002B1C28" w:rsidP="00FE12EC">
      <w:pPr>
        <w:jc w:val="center"/>
        <w:rPr>
          <w:rFonts w:ascii="BentonSansBBVA Book" w:hAnsi="BentonSansBBVA Book" w:cs="Arial"/>
          <w:b/>
        </w:rPr>
      </w:pPr>
      <w:r w:rsidRPr="002B1C28">
        <w:rPr>
          <w:noProof/>
          <w:lang w:val="es-UY" w:eastAsia="es-UY"/>
        </w:rPr>
        <w:drawing>
          <wp:inline distT="0" distB="0" distL="0" distR="0">
            <wp:extent cx="7591425" cy="402907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CF" w:rsidRDefault="00A84FCF" w:rsidP="00FE12EC">
      <w:pPr>
        <w:jc w:val="center"/>
        <w:rPr>
          <w:rFonts w:ascii="BentonSansBBVA Book" w:hAnsi="BentonSansBBVA Book" w:cs="Arial"/>
          <w:b/>
        </w:rPr>
      </w:pPr>
    </w:p>
    <w:p w:rsidR="00547F6B" w:rsidRDefault="00547F6B">
      <w:pPr>
        <w:rPr>
          <w:rFonts w:ascii="BentonSansBBVA Book" w:hAnsi="BentonSansBBVA Book" w:cs="Arial"/>
          <w:b/>
          <w:highlight w:val="red"/>
        </w:rPr>
      </w:pPr>
      <w:r>
        <w:rPr>
          <w:rFonts w:ascii="BentonSansBBVA Book" w:hAnsi="BentonSansBBVA Book" w:cs="Arial"/>
          <w:b/>
          <w:highlight w:val="red"/>
        </w:rPr>
        <w:br w:type="page"/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557534">
        <w:rPr>
          <w:rFonts w:ascii="BentonSansBBVA Book" w:hAnsi="BentonSansBBVA Book" w:cs="Arial"/>
          <w:b/>
        </w:rPr>
        <w:lastRenderedPageBreak/>
        <w:t xml:space="preserve">Formulario 5.1.4 </w:t>
      </w:r>
      <w:r w:rsidR="00274E45" w:rsidRPr="00557534">
        <w:rPr>
          <w:rFonts w:ascii="BentonSansBBVA Book" w:hAnsi="BentonSansBBVA Book" w:cs="Arial"/>
          <w:b/>
        </w:rPr>
        <w:t xml:space="preserve">- </w:t>
      </w:r>
      <w:r w:rsidRPr="00557534">
        <w:rPr>
          <w:rFonts w:ascii="BentonSansBBVA Book" w:hAnsi="BentonSansBBVA Book" w:cs="Arial"/>
          <w:b/>
        </w:rPr>
        <w:t>Información adicional sobre colocaciones reestructuradas (Semestral)</w:t>
      </w: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557534" w:rsidP="00FE12EC">
      <w:pPr>
        <w:jc w:val="center"/>
        <w:rPr>
          <w:rFonts w:ascii="BentonSansBBVA Book" w:hAnsi="BentonSansBBVA Book" w:cs="Arial"/>
          <w:b/>
        </w:rPr>
      </w:pPr>
      <w:r w:rsidRPr="00557534">
        <w:rPr>
          <w:noProof/>
          <w:lang w:val="es-UY" w:eastAsia="es-UY"/>
        </w:rPr>
        <w:drawing>
          <wp:inline distT="0" distB="0" distL="0" distR="0">
            <wp:extent cx="5924550" cy="1842390"/>
            <wp:effectExtent l="0" t="0" r="0" b="571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67" cy="185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EC">
        <w:rPr>
          <w:rFonts w:ascii="BentonSansBBVA Book" w:hAnsi="BentonSansBBVA Book" w:cs="Arial"/>
          <w:b/>
        </w:rPr>
        <w:br w:type="page"/>
      </w:r>
    </w:p>
    <w:p w:rsidR="00FE12EC" w:rsidRDefault="00FE12EC" w:rsidP="00FE12EC">
      <w:pPr>
        <w:rPr>
          <w:rFonts w:ascii="BentonSansBBVA Book" w:hAnsi="BentonSansBBVA Book" w:cs="Arial"/>
          <w:b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  <w:r w:rsidRPr="00AA74A1">
        <w:rPr>
          <w:rFonts w:ascii="BentonSansBBVA Book" w:hAnsi="BentonSansBBVA Book" w:cs="Arial"/>
          <w:b/>
          <w:color w:val="000000" w:themeColor="text1"/>
        </w:rPr>
        <w:t>SECCIÓN 5.2 - Mitigación del riesgo de crédito</w:t>
      </w: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DE626D">
        <w:rPr>
          <w:rFonts w:ascii="BentonSansBBVA Book" w:hAnsi="BentonSansBBVA Book" w:cs="Arial"/>
          <w:b/>
        </w:rPr>
        <w:t xml:space="preserve">Formulario 5.2.2 </w:t>
      </w:r>
      <w:r w:rsidR="00274E45" w:rsidRPr="00DE626D">
        <w:rPr>
          <w:rFonts w:ascii="BentonSansBBVA Book" w:hAnsi="BentonSansBBVA Book" w:cs="Arial"/>
          <w:b/>
        </w:rPr>
        <w:t xml:space="preserve">- </w:t>
      </w:r>
      <w:r w:rsidRPr="00DE626D">
        <w:rPr>
          <w:rFonts w:ascii="BentonSansBBVA Book" w:hAnsi="BentonSansBBVA Book" w:cs="Arial"/>
          <w:b/>
        </w:rPr>
        <w:t>Técnicas de mitigación del riesgo de crédito - presentación general (Semestral)</w:t>
      </w: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FE12EC" w:rsidRDefault="00C551F4" w:rsidP="00FE12EC">
      <w:pPr>
        <w:jc w:val="center"/>
        <w:rPr>
          <w:rFonts w:ascii="BentonSansBBVA Book" w:hAnsi="BentonSansBBVA Book" w:cs="Arial"/>
          <w:b/>
        </w:rPr>
      </w:pPr>
      <w:r w:rsidRPr="00C551F4">
        <w:rPr>
          <w:noProof/>
          <w:lang w:val="es-UY" w:eastAsia="es-UY"/>
        </w:rPr>
        <w:drawing>
          <wp:inline distT="0" distB="0" distL="0" distR="0">
            <wp:extent cx="7686675" cy="41529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EC" w:rsidRDefault="00FE12EC" w:rsidP="00FE12EC">
      <w:pPr>
        <w:spacing w:after="0" w:line="240" w:lineRule="auto"/>
        <w:jc w:val="center"/>
        <w:rPr>
          <w:rFonts w:eastAsia="Times New Roman"/>
          <w:color w:val="000000"/>
          <w:sz w:val="14"/>
          <w:szCs w:val="14"/>
          <w:lang w:val="es-UY" w:eastAsia="es-UY"/>
        </w:rPr>
      </w:pPr>
    </w:p>
    <w:p w:rsidR="00DE626D" w:rsidRDefault="00DE626D" w:rsidP="00FE12EC">
      <w:pPr>
        <w:spacing w:after="0" w:line="240" w:lineRule="auto"/>
        <w:jc w:val="center"/>
        <w:rPr>
          <w:rFonts w:eastAsia="Times New Roman"/>
          <w:color w:val="000000"/>
          <w:sz w:val="14"/>
          <w:szCs w:val="14"/>
          <w:lang w:val="es-UY" w:eastAsia="es-UY"/>
        </w:rPr>
      </w:pPr>
    </w:p>
    <w:p w:rsidR="00DE626D" w:rsidRDefault="00DE626D" w:rsidP="00FE12EC">
      <w:pPr>
        <w:spacing w:after="0" w:line="240" w:lineRule="auto"/>
        <w:jc w:val="center"/>
        <w:rPr>
          <w:rFonts w:eastAsia="Times New Roman"/>
          <w:color w:val="000000"/>
          <w:sz w:val="14"/>
          <w:szCs w:val="14"/>
          <w:lang w:val="es-UY" w:eastAsia="es-UY"/>
        </w:rPr>
      </w:pPr>
    </w:p>
    <w:p w:rsidR="00DE626D" w:rsidRDefault="00DE626D" w:rsidP="00FE12EC">
      <w:pPr>
        <w:spacing w:after="0" w:line="240" w:lineRule="auto"/>
        <w:jc w:val="center"/>
        <w:rPr>
          <w:rFonts w:eastAsia="Times New Roman"/>
          <w:color w:val="000000"/>
          <w:sz w:val="14"/>
          <w:szCs w:val="14"/>
          <w:lang w:val="es-UY" w:eastAsia="es-UY"/>
        </w:rPr>
      </w:pPr>
    </w:p>
    <w:p w:rsidR="00DE626D" w:rsidRPr="00E82B9A" w:rsidRDefault="00DE626D" w:rsidP="00FE12EC">
      <w:pPr>
        <w:spacing w:after="0" w:line="240" w:lineRule="auto"/>
        <w:jc w:val="center"/>
        <w:rPr>
          <w:rFonts w:eastAsia="Times New Roman"/>
          <w:color w:val="000000"/>
          <w:sz w:val="14"/>
          <w:szCs w:val="14"/>
          <w:lang w:val="es-UY" w:eastAsia="es-UY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495B0E">
        <w:rPr>
          <w:rFonts w:ascii="BentonSansBBVA Book" w:hAnsi="BentonSansBBVA Book" w:cs="Arial"/>
          <w:b/>
        </w:rPr>
        <w:lastRenderedPageBreak/>
        <w:t>SECCIÓN 5.3 - Requerimiento de capital por riesgo de crédito</w:t>
      </w: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387E79" w:rsidRDefault="00FE12EC" w:rsidP="00387E7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387E79">
        <w:rPr>
          <w:rFonts w:ascii="BentonSansBBVA Book" w:hAnsi="BentonSansBBVA Book" w:cs="Arial"/>
          <w:b/>
        </w:rPr>
        <w:t>Formulario 5.3.2</w:t>
      </w:r>
      <w:r w:rsidR="00274E45" w:rsidRPr="00387E79">
        <w:rPr>
          <w:rFonts w:ascii="BentonSansBBVA Book" w:hAnsi="BentonSansBBVA Book" w:cs="Arial"/>
          <w:b/>
        </w:rPr>
        <w:t xml:space="preserve"> -</w:t>
      </w:r>
      <w:r w:rsidRPr="00387E79">
        <w:rPr>
          <w:rFonts w:ascii="BentonSansBBVA Book" w:hAnsi="BentonSansBBVA Book" w:cs="Arial"/>
          <w:b/>
        </w:rPr>
        <w:t xml:space="preserve"> Exposiciones y ponderaciones por riesgo (Semestral)</w:t>
      </w:r>
    </w:p>
    <w:p w:rsidR="00387E79" w:rsidRDefault="00387E79" w:rsidP="00387E79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3D4CB4" w:rsidP="00FE12EC">
      <w:pPr>
        <w:rPr>
          <w:rFonts w:ascii="BentonSansBBVA Book" w:hAnsi="BentonSansBBVA Book" w:cs="Arial"/>
          <w:b/>
        </w:rPr>
      </w:pPr>
      <w:r w:rsidRPr="003D4CB4">
        <w:rPr>
          <w:noProof/>
          <w:lang w:val="es-UY" w:eastAsia="es-UY"/>
        </w:rPr>
        <w:drawing>
          <wp:inline distT="0" distB="0" distL="0" distR="0">
            <wp:extent cx="8892540" cy="4725464"/>
            <wp:effectExtent l="0" t="0" r="381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79" w:rsidRDefault="00387E79" w:rsidP="00C456B5">
      <w:pPr>
        <w:pStyle w:val="Lista2"/>
        <w:tabs>
          <w:tab w:val="left" w:pos="1134"/>
        </w:tabs>
        <w:spacing w:line="360" w:lineRule="auto"/>
        <w:ind w:left="0" w:firstLine="0"/>
        <w:jc w:val="both"/>
        <w:rPr>
          <w:rFonts w:ascii="BentonSansBBVA Book" w:hAnsi="BentonSansBBVA Book" w:cs="Arial"/>
          <w:b/>
          <w:sz w:val="24"/>
          <w:szCs w:val="24"/>
        </w:rPr>
      </w:pPr>
    </w:p>
    <w:p w:rsidR="000C4DD0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lastRenderedPageBreak/>
        <w:t>SECCIÓN 6</w:t>
      </w:r>
      <w:r w:rsidR="00274E45">
        <w:rPr>
          <w:rFonts w:ascii="BentonSansBBVA Book" w:hAnsi="BentonSansBBVA Book" w:cs="Arial"/>
          <w:b/>
          <w:sz w:val="24"/>
          <w:szCs w:val="24"/>
        </w:rPr>
        <w:t>:</w:t>
      </w:r>
      <w:r w:rsidRPr="00A84FCF">
        <w:rPr>
          <w:rFonts w:ascii="BentonSansBBVA Book" w:hAnsi="BentonSansBBVA Book" w:cs="Arial"/>
          <w:b/>
          <w:sz w:val="24"/>
          <w:szCs w:val="24"/>
        </w:rPr>
        <w:t xml:space="preserve"> Riesgo de crédito en operaciones con derivados</w:t>
      </w:r>
    </w:p>
    <w:p w:rsidR="005A7671" w:rsidRDefault="00FE12EC" w:rsidP="00547F6B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C456B5">
        <w:rPr>
          <w:rFonts w:ascii="BentonSansBBVA Book" w:hAnsi="BentonSansBBVA Book" w:cs="Arial"/>
          <w:b/>
        </w:rPr>
        <w:t>Formulario 6.2</w:t>
      </w:r>
      <w:r w:rsidR="00EA60B0" w:rsidRPr="00C456B5">
        <w:rPr>
          <w:rFonts w:ascii="BentonSansBBVA Book" w:hAnsi="BentonSansBBVA Book" w:cs="Arial"/>
          <w:b/>
        </w:rPr>
        <w:t xml:space="preserve"> -</w:t>
      </w:r>
      <w:r w:rsidRPr="00C456B5">
        <w:rPr>
          <w:rFonts w:ascii="BentonSansBBVA Book" w:hAnsi="BentonSansBBVA Book" w:cs="Arial"/>
          <w:b/>
        </w:rPr>
        <w:t xml:space="preserve"> Análisis de la exposición al riesgo de crédito en operaciones con derivados (Semestral)</w:t>
      </w: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FE12EC" w:rsidRDefault="00C456B5" w:rsidP="00547F6B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C456B5">
        <w:rPr>
          <w:noProof/>
          <w:lang w:val="es-UY" w:eastAsia="es-UY"/>
        </w:rPr>
        <w:drawing>
          <wp:inline distT="0" distB="0" distL="0" distR="0">
            <wp:extent cx="5753046" cy="5562600"/>
            <wp:effectExtent l="0" t="0" r="63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05" cy="558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EC">
        <w:rPr>
          <w:rFonts w:ascii="BentonSansBBVA Book" w:hAnsi="BentonSansBBVA Book" w:cs="Arial"/>
          <w:b/>
        </w:rPr>
        <w:br w:type="page"/>
      </w: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C456B5">
        <w:rPr>
          <w:rFonts w:ascii="BentonSansBBVA Book" w:hAnsi="BentonSansBBVA Book" w:cs="Arial"/>
          <w:b/>
        </w:rPr>
        <w:t>Formulario 6.3</w:t>
      </w:r>
      <w:r w:rsidR="00EA60B0" w:rsidRPr="00C456B5">
        <w:rPr>
          <w:rFonts w:ascii="BentonSansBBVA Book" w:hAnsi="BentonSansBBVA Book" w:cs="Arial"/>
          <w:b/>
        </w:rPr>
        <w:t xml:space="preserve"> -</w:t>
      </w:r>
      <w:r w:rsidRPr="00C456B5">
        <w:rPr>
          <w:rFonts w:ascii="BentonSansBBVA Book" w:hAnsi="BentonSansBBVA Book" w:cs="Arial"/>
          <w:b/>
        </w:rPr>
        <w:t xml:space="preserve"> Exposición al riesgo de crédito en operaciones con derivado</w:t>
      </w:r>
      <w:r w:rsidR="00AD2F81">
        <w:rPr>
          <w:rFonts w:ascii="BentonSansBBVA Book" w:hAnsi="BentonSansBBVA Book" w:cs="Arial"/>
          <w:b/>
        </w:rPr>
        <w:t>s</w:t>
      </w:r>
      <w:bookmarkStart w:id="0" w:name="_GoBack"/>
      <w:bookmarkEnd w:id="0"/>
      <w:r w:rsidRPr="00C456B5">
        <w:rPr>
          <w:rFonts w:ascii="BentonSansBBVA Book" w:hAnsi="BentonSansBBVA Book" w:cs="Arial"/>
          <w:b/>
        </w:rPr>
        <w:t xml:space="preserve"> por tipo de contraparte y ponderadores de riesgo (Semestral)</w:t>
      </w:r>
    </w:p>
    <w:p w:rsidR="005A7671" w:rsidRDefault="005A7671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5A7671" w:rsidRDefault="005A7671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C456B5" w:rsidP="00FE12EC">
      <w:pPr>
        <w:jc w:val="center"/>
        <w:rPr>
          <w:rFonts w:ascii="BentonSansBBVA Book" w:hAnsi="BentonSansBBVA Book" w:cs="Arial"/>
          <w:b/>
        </w:rPr>
      </w:pPr>
      <w:r w:rsidRPr="00C456B5">
        <w:rPr>
          <w:noProof/>
          <w:lang w:val="es-UY" w:eastAsia="es-UY"/>
        </w:rPr>
        <w:drawing>
          <wp:inline distT="0" distB="0" distL="0" distR="0">
            <wp:extent cx="7486650" cy="333375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EC">
        <w:rPr>
          <w:rFonts w:ascii="BentonSansBBVA Book" w:hAnsi="BentonSansBBVA Book" w:cs="Arial"/>
          <w:b/>
        </w:rPr>
        <w:br w:type="page"/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</w:p>
    <w:p w:rsidR="00FE12EC" w:rsidRPr="00733A05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color w:val="000000" w:themeColor="text1"/>
        </w:rPr>
      </w:pPr>
      <w:r w:rsidRPr="0015413E">
        <w:rPr>
          <w:rFonts w:ascii="BentonSansBBVA Book" w:hAnsi="BentonSansBBVA Book" w:cs="Arial"/>
          <w:b/>
          <w:color w:val="000000" w:themeColor="text1"/>
        </w:rPr>
        <w:t>Formulario 6.4</w:t>
      </w:r>
      <w:r w:rsidR="00EA60B0" w:rsidRPr="0015413E">
        <w:rPr>
          <w:rFonts w:ascii="BentonSansBBVA Book" w:hAnsi="BentonSansBBVA Book" w:cs="Arial"/>
          <w:b/>
          <w:color w:val="000000" w:themeColor="text1"/>
        </w:rPr>
        <w:t xml:space="preserve"> -</w:t>
      </w:r>
      <w:r w:rsidRPr="0015413E">
        <w:rPr>
          <w:rFonts w:ascii="BentonSansBBVA Book" w:hAnsi="BentonSansBBVA Book" w:cs="Arial"/>
          <w:b/>
          <w:color w:val="000000" w:themeColor="text1"/>
        </w:rPr>
        <w:t xml:space="preserve"> Composición del colateral en operaciones con derivados (Semestral)</w:t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15413E" w:rsidP="0015413E">
      <w:pPr>
        <w:pStyle w:val="Lista2"/>
        <w:tabs>
          <w:tab w:val="left" w:pos="1134"/>
        </w:tabs>
        <w:spacing w:line="360" w:lineRule="auto"/>
        <w:ind w:left="11" w:firstLine="0"/>
        <w:jc w:val="center"/>
        <w:rPr>
          <w:rFonts w:ascii="BentonSansBBVA Book" w:hAnsi="BentonSansBBVA Book" w:cs="Arial"/>
          <w:b/>
        </w:rPr>
      </w:pPr>
      <w:r w:rsidRPr="0015413E">
        <w:rPr>
          <w:noProof/>
          <w:lang w:val="es-UY" w:eastAsia="es-UY"/>
        </w:rPr>
        <w:drawing>
          <wp:inline distT="0" distB="0" distL="0" distR="0">
            <wp:extent cx="6477000" cy="3333439"/>
            <wp:effectExtent l="0" t="0" r="0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269" cy="334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center"/>
        <w:rPr>
          <w:rFonts w:ascii="BentonSansBBVA Book" w:hAnsi="BentonSansBBVA Book" w:cs="Arial"/>
          <w:b/>
        </w:rPr>
      </w:pPr>
    </w:p>
    <w:p w:rsidR="000C4DD0" w:rsidRDefault="00FE12EC" w:rsidP="00FE12EC">
      <w:pPr>
        <w:rPr>
          <w:rFonts w:ascii="BentonSansBBVA Book" w:hAnsi="BentonSansBBVA Book" w:cs="Arial"/>
          <w:b/>
        </w:rPr>
      </w:pPr>
      <w:r>
        <w:rPr>
          <w:rFonts w:ascii="BentonSansBBVA Book" w:hAnsi="BentonSansBBVA Book" w:cs="Arial"/>
          <w:b/>
        </w:rPr>
        <w:br w:type="page"/>
      </w:r>
    </w:p>
    <w:p w:rsidR="000C4DD0" w:rsidRPr="00A84FCF" w:rsidRDefault="000C4DD0" w:rsidP="00FE12EC">
      <w:pPr>
        <w:rPr>
          <w:rFonts w:ascii="BentonSansBBVA Book" w:hAnsi="BentonSansBBVA Book" w:cs="Arial"/>
          <w:b/>
          <w:sz w:val="24"/>
          <w:szCs w:val="24"/>
        </w:rPr>
      </w:pPr>
    </w:p>
    <w:p w:rsidR="00FE12EC" w:rsidRPr="00A84FCF" w:rsidRDefault="00FE12EC" w:rsidP="00FE12EC">
      <w:pPr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t>SECCIÓN 7</w:t>
      </w:r>
      <w:r w:rsidR="00EA60B0">
        <w:rPr>
          <w:rFonts w:ascii="BentonSansBBVA Book" w:hAnsi="BentonSansBBVA Book" w:cs="Arial"/>
          <w:b/>
          <w:sz w:val="24"/>
          <w:szCs w:val="24"/>
        </w:rPr>
        <w:t>:</w:t>
      </w:r>
      <w:r w:rsidRPr="00A84FCF">
        <w:rPr>
          <w:rFonts w:ascii="BentonSansBBVA Book" w:hAnsi="BentonSansBBVA Book" w:cs="Arial"/>
          <w:b/>
          <w:sz w:val="24"/>
          <w:szCs w:val="24"/>
        </w:rPr>
        <w:t xml:space="preserve"> Riesgo de mercado</w:t>
      </w:r>
    </w:p>
    <w:p w:rsidR="000C4DD0" w:rsidRPr="00CD751E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CD751E">
        <w:rPr>
          <w:rFonts w:ascii="BentonSansBBVA Book" w:hAnsi="BentonSansBBVA Book" w:cs="Arial"/>
          <w:b/>
        </w:rPr>
        <w:t>Formulario 7.2</w:t>
      </w:r>
      <w:r w:rsidR="00EA60B0" w:rsidRPr="00CD751E">
        <w:rPr>
          <w:rFonts w:ascii="BentonSansBBVA Book" w:hAnsi="BentonSansBBVA Book" w:cs="Arial"/>
          <w:b/>
        </w:rPr>
        <w:t xml:space="preserve"> -</w:t>
      </w:r>
      <w:r w:rsidRPr="00CD751E">
        <w:rPr>
          <w:rFonts w:ascii="BentonSansBBVA Book" w:hAnsi="BentonSansBBVA Book" w:cs="Arial"/>
          <w:b/>
        </w:rPr>
        <w:t xml:space="preserve"> Requerimientos de capital por los riesgos de mercado (Semestral)</w:t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5A7671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>
        <w:t>Cifras en miles de pesos uruguayos</w:t>
      </w:r>
    </w:p>
    <w:p w:rsidR="005A7671" w:rsidRDefault="005A7671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15413E" w:rsidP="00CD751E">
      <w:pPr>
        <w:ind w:left="1416"/>
        <w:rPr>
          <w:rFonts w:ascii="BentonSansBBVA Book" w:hAnsi="BentonSansBBVA Book" w:cs="Arial"/>
          <w:b/>
        </w:rPr>
      </w:pPr>
      <w:r w:rsidRPr="0015413E">
        <w:rPr>
          <w:noProof/>
          <w:lang w:val="es-UY" w:eastAsia="es-UY"/>
        </w:rPr>
        <w:drawing>
          <wp:inline distT="0" distB="0" distL="0" distR="0">
            <wp:extent cx="7624170" cy="226695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35" cy="226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Default="00FE12EC">
      <w:pPr>
        <w:rPr>
          <w:rFonts w:ascii="BentonSansBBVA Book" w:hAnsi="BentonSansBBVA Book" w:cs="Arial"/>
          <w:b/>
        </w:rPr>
      </w:pPr>
      <w:r>
        <w:rPr>
          <w:rFonts w:ascii="BentonSansBBVA Book" w:hAnsi="BentonSansBBVA Book" w:cs="Arial"/>
          <w:b/>
        </w:rPr>
        <w:br w:type="page"/>
      </w: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</w:p>
    <w:p w:rsidR="00FE12EC" w:rsidRPr="00A84FCF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t>SECCIÓN 8</w:t>
      </w:r>
      <w:r w:rsidR="00EA60B0">
        <w:rPr>
          <w:rFonts w:ascii="BentonSansBBVA Book" w:hAnsi="BentonSansBBVA Book" w:cs="Arial"/>
          <w:b/>
          <w:sz w:val="24"/>
          <w:szCs w:val="24"/>
        </w:rPr>
        <w:t>:</w:t>
      </w:r>
      <w:r w:rsidRPr="00A84FCF">
        <w:rPr>
          <w:rFonts w:ascii="BentonSansBBVA Book" w:hAnsi="BentonSansBBVA Book" w:cs="Arial"/>
          <w:b/>
          <w:sz w:val="24"/>
          <w:szCs w:val="24"/>
        </w:rPr>
        <w:t xml:space="preserve"> Riesgo operacional</w:t>
      </w:r>
    </w:p>
    <w:p w:rsidR="000C4DD0" w:rsidRDefault="000C4DD0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  <w:highlight w:val="red"/>
        </w:rPr>
      </w:pPr>
    </w:p>
    <w:p w:rsidR="00FE12EC" w:rsidRDefault="00FE12EC" w:rsidP="00FE12EC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0511DE">
        <w:rPr>
          <w:rFonts w:ascii="BentonSansBBVA Book" w:hAnsi="BentonSansBBVA Book" w:cs="Arial"/>
          <w:b/>
        </w:rPr>
        <w:t>Formulario 8.2</w:t>
      </w:r>
      <w:r w:rsidR="00EA60B0" w:rsidRPr="000511DE">
        <w:rPr>
          <w:rFonts w:ascii="BentonSansBBVA Book" w:hAnsi="BentonSansBBVA Book" w:cs="Arial"/>
          <w:b/>
        </w:rPr>
        <w:t xml:space="preserve"> -</w:t>
      </w:r>
      <w:r w:rsidRPr="000511DE">
        <w:rPr>
          <w:rFonts w:ascii="BentonSansBBVA Book" w:hAnsi="BentonSansBBVA Book" w:cs="Arial"/>
          <w:b/>
        </w:rPr>
        <w:t xml:space="preserve"> Resultado bruto como medida de exposición al riesgo operacional (Semestral)</w:t>
      </w:r>
    </w:p>
    <w:p w:rsidR="000511DE" w:rsidRDefault="000511DE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</w:p>
    <w:p w:rsidR="000511DE" w:rsidRPr="000511DE" w:rsidRDefault="000511DE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</w:p>
    <w:p w:rsidR="005A7671" w:rsidRPr="000511DE" w:rsidRDefault="005A7671" w:rsidP="005A7671">
      <w:pPr>
        <w:pStyle w:val="Lista2"/>
        <w:tabs>
          <w:tab w:val="left" w:pos="1134"/>
        </w:tabs>
        <w:spacing w:line="360" w:lineRule="auto"/>
        <w:ind w:left="11" w:firstLine="0"/>
        <w:jc w:val="both"/>
      </w:pPr>
      <w:r w:rsidRPr="000511DE">
        <w:t>Cifras en miles de pesos uruguayos</w:t>
      </w:r>
    </w:p>
    <w:p w:rsidR="00FE12EC" w:rsidRDefault="00C92E8A" w:rsidP="000511DE">
      <w:pPr>
        <w:ind w:left="1416"/>
        <w:rPr>
          <w:rFonts w:ascii="BentonSansBBVA Book" w:hAnsi="BentonSansBBVA Book" w:cs="Arial"/>
          <w:b/>
        </w:rPr>
      </w:pPr>
      <w:r w:rsidRPr="00C92E8A">
        <w:rPr>
          <w:noProof/>
          <w:lang w:val="es-UY" w:eastAsia="es-UY"/>
        </w:rPr>
        <w:drawing>
          <wp:inline distT="0" distB="0" distL="0" distR="0">
            <wp:extent cx="7886700" cy="4048125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DE" w:rsidRDefault="000511DE" w:rsidP="00DE557F">
      <w:pPr>
        <w:rPr>
          <w:rFonts w:ascii="BentonSansBBVA Book" w:hAnsi="BentonSansBBVA Book" w:cs="Arial"/>
          <w:b/>
          <w:sz w:val="24"/>
          <w:szCs w:val="24"/>
        </w:rPr>
      </w:pPr>
    </w:p>
    <w:p w:rsidR="00495B0E" w:rsidRDefault="00495B0E" w:rsidP="00DE557F">
      <w:pPr>
        <w:rPr>
          <w:rFonts w:ascii="BentonSansBBVA Book" w:hAnsi="BentonSansBBVA Book" w:cs="Arial"/>
          <w:b/>
          <w:sz w:val="24"/>
          <w:szCs w:val="24"/>
        </w:rPr>
      </w:pPr>
      <w:r w:rsidRPr="00A84FCF">
        <w:rPr>
          <w:rFonts w:ascii="BentonSansBBVA Book" w:hAnsi="BentonSansBBVA Book" w:cs="Arial"/>
          <w:b/>
          <w:sz w:val="24"/>
          <w:szCs w:val="24"/>
        </w:rPr>
        <w:lastRenderedPageBreak/>
        <w:t>SECCIÓN 9</w:t>
      </w:r>
      <w:r w:rsidR="00EA60B0">
        <w:rPr>
          <w:rFonts w:ascii="BentonSansBBVA Book" w:hAnsi="BentonSansBBVA Book" w:cs="Arial"/>
          <w:b/>
          <w:sz w:val="24"/>
          <w:szCs w:val="24"/>
        </w:rPr>
        <w:t>:</w:t>
      </w:r>
      <w:r w:rsidRPr="00A84FCF">
        <w:rPr>
          <w:rFonts w:ascii="BentonSansBBVA Book" w:hAnsi="BentonSansBBVA Book" w:cs="Arial"/>
          <w:b/>
          <w:sz w:val="24"/>
          <w:szCs w:val="24"/>
        </w:rPr>
        <w:t xml:space="preserve"> Riesgo de liquidez</w:t>
      </w:r>
    </w:p>
    <w:p w:rsidR="00DE557F" w:rsidRPr="00DE557F" w:rsidRDefault="00DE557F" w:rsidP="00DE557F">
      <w:pPr>
        <w:rPr>
          <w:rFonts w:ascii="BentonSansBBVA Book" w:hAnsi="BentonSansBBVA Book" w:cs="Arial"/>
          <w:b/>
        </w:rPr>
      </w:pPr>
    </w:p>
    <w:p w:rsidR="00DE557F" w:rsidRDefault="00495B0E" w:rsidP="002E6DF6">
      <w:pPr>
        <w:pStyle w:val="Lista2"/>
        <w:tabs>
          <w:tab w:val="left" w:pos="1134"/>
        </w:tabs>
        <w:spacing w:line="360" w:lineRule="auto"/>
        <w:ind w:left="11" w:firstLine="0"/>
        <w:jc w:val="both"/>
        <w:rPr>
          <w:rFonts w:ascii="BentonSansBBVA Book" w:hAnsi="BentonSansBBVA Book" w:cs="Arial"/>
          <w:b/>
        </w:rPr>
      </w:pPr>
      <w:r w:rsidRPr="00DE557F">
        <w:rPr>
          <w:rFonts w:ascii="BentonSansBBVA Book" w:hAnsi="BentonSansBBVA Book" w:cs="Arial"/>
          <w:b/>
        </w:rPr>
        <w:t>Formulario 9.2</w:t>
      </w:r>
      <w:r w:rsidR="00EA60B0" w:rsidRPr="00DE557F">
        <w:rPr>
          <w:rFonts w:ascii="BentonSansBBVA Book" w:hAnsi="BentonSansBBVA Book" w:cs="Arial"/>
          <w:b/>
        </w:rPr>
        <w:t xml:space="preserve"> -</w:t>
      </w:r>
      <w:r w:rsidRPr="00DE557F">
        <w:rPr>
          <w:rFonts w:ascii="BentonSansBBVA Book" w:hAnsi="BentonSansBBVA Book" w:cs="Arial"/>
          <w:b/>
        </w:rPr>
        <w:t xml:space="preserve"> Ratio de cobertura de liquidez (Trimestral)</w:t>
      </w:r>
      <w:r w:rsidR="00222048">
        <w:rPr>
          <w:rFonts w:ascii="BentonSansBBVA Book" w:hAnsi="BentonSansBBVA Book" w:cs="Arial"/>
          <w:b/>
        </w:rPr>
        <w:tab/>
      </w:r>
      <w:r w:rsidR="00222048">
        <w:rPr>
          <w:rFonts w:ascii="BentonSansBBVA Book" w:hAnsi="BentonSansBBVA Book" w:cs="Arial"/>
          <w:b/>
        </w:rPr>
        <w:tab/>
      </w:r>
      <w:r w:rsidR="00222048">
        <w:rPr>
          <w:rFonts w:ascii="BentonSansBBVA Book" w:hAnsi="BentonSansBBVA Book" w:cs="Arial"/>
          <w:b/>
        </w:rPr>
        <w:tab/>
      </w:r>
    </w:p>
    <w:p w:rsidR="00DF346B" w:rsidRDefault="005E5322" w:rsidP="00DE557F">
      <w:pPr>
        <w:pStyle w:val="Lista2"/>
        <w:tabs>
          <w:tab w:val="left" w:pos="1134"/>
        </w:tabs>
        <w:spacing w:line="360" w:lineRule="auto"/>
        <w:ind w:left="1134" w:firstLine="0"/>
        <w:jc w:val="both"/>
      </w:pPr>
      <w:r w:rsidRPr="005E5322">
        <w:rPr>
          <w:noProof/>
          <w:lang w:val="es-UY" w:eastAsia="es-UY"/>
        </w:rPr>
        <w:drawing>
          <wp:inline distT="0" distB="0" distL="0" distR="0">
            <wp:extent cx="7486650" cy="530542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46B" w:rsidSect="00BD7A24">
      <w:headerReference w:type="default" r:id="rId31"/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57" w:rsidRDefault="003E1C57" w:rsidP="003E1C57">
      <w:pPr>
        <w:spacing w:after="0" w:line="240" w:lineRule="auto"/>
      </w:pPr>
      <w:r>
        <w:separator/>
      </w:r>
    </w:p>
  </w:endnote>
  <w:endnote w:type="continuationSeparator" w:id="0">
    <w:p w:rsidR="003E1C57" w:rsidRDefault="003E1C57" w:rsidP="003E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VA Office Light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BBVA">
    <w:altName w:val="Arial"/>
    <w:panose1 w:val="00000000000000000000"/>
    <w:charset w:val="00"/>
    <w:family w:val="modern"/>
    <w:notTrueType/>
    <w:pitch w:val="variable"/>
    <w:sig w:usb0="00000001" w:usb1="5000A05B" w:usb2="00000000" w:usb3="00000000" w:csb0="00000093" w:csb1="00000000"/>
  </w:font>
  <w:font w:name="BentonSansBBVA Book">
    <w:altName w:val="Arial"/>
    <w:panose1 w:val="00000000000000000000"/>
    <w:charset w:val="00"/>
    <w:family w:val="modern"/>
    <w:notTrueType/>
    <w:pitch w:val="variable"/>
    <w:sig w:usb0="00000001" w:usb1="5000A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57" w:rsidRDefault="003E1C57" w:rsidP="003E1C57">
      <w:pPr>
        <w:spacing w:after="0" w:line="240" w:lineRule="auto"/>
      </w:pPr>
      <w:r>
        <w:separator/>
      </w:r>
    </w:p>
  </w:footnote>
  <w:footnote w:type="continuationSeparator" w:id="0">
    <w:p w:rsidR="003E1C57" w:rsidRDefault="003E1C57" w:rsidP="003E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57" w:rsidRDefault="003E1C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C6"/>
    <w:multiLevelType w:val="hybridMultilevel"/>
    <w:tmpl w:val="E9F02DA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F3E"/>
    <w:multiLevelType w:val="hybridMultilevel"/>
    <w:tmpl w:val="AEF6C2D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F30"/>
    <w:multiLevelType w:val="hybridMultilevel"/>
    <w:tmpl w:val="79763A4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6360"/>
    <w:multiLevelType w:val="hybridMultilevel"/>
    <w:tmpl w:val="61FA0B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C7F"/>
    <w:multiLevelType w:val="hybridMultilevel"/>
    <w:tmpl w:val="C50013D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26D7"/>
    <w:multiLevelType w:val="hybridMultilevel"/>
    <w:tmpl w:val="8904F00C"/>
    <w:lvl w:ilvl="0" w:tplc="57D29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114"/>
    <w:multiLevelType w:val="hybridMultilevel"/>
    <w:tmpl w:val="82FEA8E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06D1"/>
    <w:multiLevelType w:val="hybridMultilevel"/>
    <w:tmpl w:val="631EE3B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06C1"/>
    <w:multiLevelType w:val="hybridMultilevel"/>
    <w:tmpl w:val="25220586"/>
    <w:lvl w:ilvl="0" w:tplc="55BEB51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2D10"/>
    <w:multiLevelType w:val="hybridMultilevel"/>
    <w:tmpl w:val="DBC6D43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B339B1"/>
    <w:multiLevelType w:val="hybridMultilevel"/>
    <w:tmpl w:val="E31E885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52B4"/>
    <w:multiLevelType w:val="hybridMultilevel"/>
    <w:tmpl w:val="91109ED4"/>
    <w:lvl w:ilvl="0" w:tplc="6C021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35131"/>
    <w:multiLevelType w:val="hybridMultilevel"/>
    <w:tmpl w:val="070CB0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1BDB"/>
    <w:multiLevelType w:val="hybridMultilevel"/>
    <w:tmpl w:val="055A8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E3732"/>
    <w:multiLevelType w:val="hybridMultilevel"/>
    <w:tmpl w:val="11B0E94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72335"/>
    <w:multiLevelType w:val="multilevel"/>
    <w:tmpl w:val="489AD174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tabs>
          <w:tab w:val="num" w:pos="731"/>
        </w:tabs>
        <w:ind w:left="73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91"/>
        </w:tabs>
        <w:ind w:left="109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11"/>
        </w:tabs>
        <w:ind w:left="181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31"/>
        </w:tabs>
        <w:ind w:left="2531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91"/>
        </w:tabs>
        <w:ind w:left="28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1"/>
        </w:tabs>
        <w:ind w:left="3611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31"/>
        </w:tabs>
        <w:ind w:left="4331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91"/>
        </w:tabs>
        <w:ind w:left="4691" w:hanging="2160"/>
      </w:pPr>
      <w:rPr>
        <w:rFonts w:hint="default"/>
        <w:b/>
      </w:rPr>
    </w:lvl>
  </w:abstractNum>
  <w:abstractNum w:abstractNumId="16" w15:restartNumberingAfterBreak="0">
    <w:nsid w:val="7CC4498C"/>
    <w:multiLevelType w:val="hybridMultilevel"/>
    <w:tmpl w:val="816A3D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C"/>
    <w:rsid w:val="000511DE"/>
    <w:rsid w:val="000860F8"/>
    <w:rsid w:val="000C4DD0"/>
    <w:rsid w:val="00134BF3"/>
    <w:rsid w:val="0015413E"/>
    <w:rsid w:val="001B3568"/>
    <w:rsid w:val="001B5653"/>
    <w:rsid w:val="001F0257"/>
    <w:rsid w:val="00221B0F"/>
    <w:rsid w:val="00222048"/>
    <w:rsid w:val="00274E45"/>
    <w:rsid w:val="0028773E"/>
    <w:rsid w:val="002A5B2C"/>
    <w:rsid w:val="002B1C28"/>
    <w:rsid w:val="002B1D97"/>
    <w:rsid w:val="002E4112"/>
    <w:rsid w:val="002E6DF6"/>
    <w:rsid w:val="00387E79"/>
    <w:rsid w:val="003957B8"/>
    <w:rsid w:val="003D4CB4"/>
    <w:rsid w:val="003E1C57"/>
    <w:rsid w:val="003E32DA"/>
    <w:rsid w:val="00461752"/>
    <w:rsid w:val="004942D4"/>
    <w:rsid w:val="00495B0E"/>
    <w:rsid w:val="00527869"/>
    <w:rsid w:val="00547F6B"/>
    <w:rsid w:val="00557534"/>
    <w:rsid w:val="00571A62"/>
    <w:rsid w:val="00573E86"/>
    <w:rsid w:val="005A7671"/>
    <w:rsid w:val="005C0524"/>
    <w:rsid w:val="005D2978"/>
    <w:rsid w:val="005E5322"/>
    <w:rsid w:val="00680D23"/>
    <w:rsid w:val="00710383"/>
    <w:rsid w:val="00733A05"/>
    <w:rsid w:val="007D143D"/>
    <w:rsid w:val="008122B1"/>
    <w:rsid w:val="00874ABA"/>
    <w:rsid w:val="008773F5"/>
    <w:rsid w:val="008C5D8C"/>
    <w:rsid w:val="009106C8"/>
    <w:rsid w:val="00992317"/>
    <w:rsid w:val="00992539"/>
    <w:rsid w:val="009C2CB2"/>
    <w:rsid w:val="00A84FCF"/>
    <w:rsid w:val="00AA74A1"/>
    <w:rsid w:val="00AD2F81"/>
    <w:rsid w:val="00AE206E"/>
    <w:rsid w:val="00B0703C"/>
    <w:rsid w:val="00B23E5F"/>
    <w:rsid w:val="00B272FB"/>
    <w:rsid w:val="00B34FE6"/>
    <w:rsid w:val="00B86A0E"/>
    <w:rsid w:val="00BD7A24"/>
    <w:rsid w:val="00BF2C2C"/>
    <w:rsid w:val="00C32AC8"/>
    <w:rsid w:val="00C456B5"/>
    <w:rsid w:val="00C551F4"/>
    <w:rsid w:val="00C92E8A"/>
    <w:rsid w:val="00CD751E"/>
    <w:rsid w:val="00D231FA"/>
    <w:rsid w:val="00D43999"/>
    <w:rsid w:val="00D47CBE"/>
    <w:rsid w:val="00DE557F"/>
    <w:rsid w:val="00DE626D"/>
    <w:rsid w:val="00DF346B"/>
    <w:rsid w:val="00DF70FB"/>
    <w:rsid w:val="00E82B9A"/>
    <w:rsid w:val="00EA60B0"/>
    <w:rsid w:val="00ED4287"/>
    <w:rsid w:val="00F06FAF"/>
    <w:rsid w:val="00F36F08"/>
    <w:rsid w:val="00FE12EC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3B7"/>
  <w15:docId w15:val="{E1DD5453-3536-48EB-BCB6-BD56AFA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D8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C5D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C5D8C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D8C"/>
    <w:rPr>
      <w:rFonts w:ascii="Tahoma" w:eastAsia="Calibri" w:hAnsi="Tahoma" w:cs="Tahoma"/>
      <w:sz w:val="16"/>
      <w:szCs w:val="16"/>
      <w:lang w:val="es-ES"/>
    </w:rPr>
  </w:style>
  <w:style w:type="paragraph" w:styleId="Lista2">
    <w:name w:val="List 2"/>
    <w:basedOn w:val="Normal"/>
    <w:uiPriority w:val="99"/>
    <w:unhideWhenUsed/>
    <w:rsid w:val="002E6DF6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E6D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E6DF6"/>
    <w:rPr>
      <w:rFonts w:ascii="Calibri" w:eastAsia="Calibri" w:hAnsi="Calibri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E6DF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E6DF6"/>
    <w:rPr>
      <w:rFonts w:ascii="Calibri" w:eastAsia="Calibri" w:hAnsi="Calibri" w:cs="Times New Roman"/>
      <w:lang w:val="es-ES"/>
    </w:rPr>
  </w:style>
  <w:style w:type="paragraph" w:customStyle="1" w:styleId="Bullet">
    <w:name w:val="Bullet"/>
    <w:basedOn w:val="Prrafodelista"/>
    <w:link w:val="BulletChar"/>
    <w:qFormat/>
    <w:rsid w:val="00B0703C"/>
    <w:pPr>
      <w:numPr>
        <w:numId w:val="2"/>
      </w:numPr>
      <w:tabs>
        <w:tab w:val="num" w:pos="360"/>
      </w:tabs>
      <w:spacing w:before="120" w:after="360"/>
      <w:ind w:firstLine="0"/>
    </w:pPr>
    <w:rPr>
      <w:lang w:val="es-ES_tradnl"/>
    </w:rPr>
  </w:style>
  <w:style w:type="paragraph" w:styleId="Prrafodelista">
    <w:name w:val="List Paragraph"/>
    <w:basedOn w:val="Normal"/>
    <w:link w:val="PrrafodelistaCar"/>
    <w:qFormat/>
    <w:rsid w:val="00B0703C"/>
    <w:pPr>
      <w:spacing w:after="240" w:line="240" w:lineRule="auto"/>
      <w:ind w:left="720"/>
      <w:contextualSpacing/>
      <w:jc w:val="both"/>
    </w:pPr>
    <w:rPr>
      <w:rFonts w:ascii="BBVA Office Light" w:eastAsia="Times New Roman" w:hAnsi="BBVA Office Light"/>
      <w:color w:val="143277"/>
      <w:szCs w:val="24"/>
      <w:lang w:val="es-UY"/>
    </w:rPr>
  </w:style>
  <w:style w:type="character" w:customStyle="1" w:styleId="BulletChar">
    <w:name w:val="Bullet Char"/>
    <w:basedOn w:val="Fuentedeprrafopredeter"/>
    <w:link w:val="Bullet"/>
    <w:rsid w:val="00B0703C"/>
    <w:rPr>
      <w:rFonts w:ascii="BBVA Office Light" w:eastAsia="Times New Roman" w:hAnsi="BBVA Office Light" w:cs="Times New Roman"/>
      <w:color w:val="143277"/>
      <w:szCs w:val="24"/>
      <w:lang w:val="es-ES_tradnl"/>
    </w:rPr>
  </w:style>
  <w:style w:type="paragraph" w:customStyle="1" w:styleId="Textonormal">
    <w:name w:val="Texto normal"/>
    <w:basedOn w:val="Normal"/>
    <w:qFormat/>
    <w:rsid w:val="00221B0F"/>
    <w:pPr>
      <w:spacing w:before="360" w:after="0" w:line="240" w:lineRule="auto"/>
    </w:pPr>
    <w:rPr>
      <w:rFonts w:ascii="Arial" w:eastAsiaTheme="minorHAnsi" w:hAnsi="Arial" w:cstheme="minorBidi"/>
      <w:color w:val="EEECE1" w:themeColor="background2"/>
      <w:sz w:val="24"/>
      <w:lang w:val="en-US"/>
    </w:rPr>
  </w:style>
  <w:style w:type="character" w:customStyle="1" w:styleId="PrrafodelistaCar">
    <w:name w:val="Párrafo de lista Car"/>
    <w:basedOn w:val="Fuentedeprrafopredeter"/>
    <w:link w:val="Prrafodelista"/>
    <w:rsid w:val="00527869"/>
    <w:rPr>
      <w:rFonts w:ascii="BBVA Office Light" w:eastAsia="Times New Roman" w:hAnsi="BBVA Office Light" w:cs="Times New Roman"/>
      <w:color w:val="143277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E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C5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C5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3540-1C2F-4687-B362-F9250716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20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 Uruguay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Arraga</dc:creator>
  <cp:lastModifiedBy>Jourdan, Daniel</cp:lastModifiedBy>
  <cp:revision>14</cp:revision>
  <cp:lastPrinted>2019-08-23T18:59:00Z</cp:lastPrinted>
  <dcterms:created xsi:type="dcterms:W3CDTF">2019-07-26T18:28:00Z</dcterms:created>
  <dcterms:modified xsi:type="dcterms:W3CDTF">2019-08-29T17:23:00Z</dcterms:modified>
</cp:coreProperties>
</file>